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38363" cy="7229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722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Committee 10/18/2024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Members present in person: Nichole Paul, Diego Flores, Haileigh Fitzgerald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Members present via Zoom: Peter Christman, Mary Gillespie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Members not present:  Lisa Gallo Swan, Eric York, Katy Edmunds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Guests present: Amanda Stibick (oversight)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.709010339734"/>
        <w:gridCol w:w="6719.290989660266"/>
        <w:tblGridChange w:id="0">
          <w:tblGrid>
            <w:gridCol w:w="2640.709010339734"/>
            <w:gridCol w:w="6719.29098966026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Agenda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Discussion</w:t>
            </w:r>
          </w:p>
        </w:tc>
      </w:tr>
      <w:tr>
        <w:trPr>
          <w:cantSplit w:val="0"/>
          <w:trHeight w:val="1024.932617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Call to Order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12:02 PM</w:t>
            </w:r>
          </w:p>
        </w:tc>
      </w:tr>
      <w:tr>
        <w:trPr>
          <w:cantSplit w:val="0"/>
          <w:trHeight w:val="754.932617187499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Roll Call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Approval of Minutes for meeting 3/26/2024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Motion by Haileigh, seconded by Mary</w:t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60" w:line="259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Working groups for SMART Goals: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Committee led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Conversations still ongoing for setting up the LGBTIA+ 101 talks.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“Don’t Cancel That Class” has a DEI option now.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Free films that we can request to be posted about DEI topics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10/29, noon, Wildcat commons, meeting with the DEI from UNR, lunch and learn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Another speaker opportunity from Melody (Aaron) and Susan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Reviewing new DEI policies as they come through and providing suggestions. (Not a SMART goal, but may be one in the future.)</w:t>
            </w:r>
          </w:p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DEI workshop during the facility meetings before the semester or professional development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Reach out to TMCC about doing another session involving helping student and faculty veterans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Renaming DEI to include belonging and accessibility?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Working groups vs. all working on things at once. Decided on the latter.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Working groups for SMART Goals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before="240" w:lineRule="auto"/>
              <w:ind w:left="720" w:hanging="360"/>
              <w:rPr>
                <w:rFonts w:ascii="Georgia" w:cs="Georgia" w:eastAsia="Georgia" w:hAnsi="Georgia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Student 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Meeting on 10/28 to talk to ASWN about their ideas for events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-Multicultural fair, after spring break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-Latino leadership academy has been discontinued due to equity concerns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Upcoming meeting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11/15 at noon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Open Discussion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None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Public Comment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None</w:t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Next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next meeting will take place on November 15 at 12:00 PM.</w:t>
            </w:r>
          </w:p>
        </w:tc>
      </w:tr>
      <w:tr>
        <w:trPr>
          <w:cantSplit w:val="0"/>
          <w:trHeight w:val="694.932617187499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Meeting adjourned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12:28 PM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